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71FF2" w14:textId="77777777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  <w:lang w:val="kk-KZ"/>
        </w:rPr>
      </w:pPr>
      <w:bookmarkStart w:id="0" w:name="_GoBack"/>
      <w:bookmarkEnd w:id="0"/>
      <w:r w:rsidRPr="005E1F00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  <w:lang w:val="kk-KZ"/>
        </w:rPr>
        <w:t xml:space="preserve"> </w:t>
      </w:r>
    </w:p>
    <w:p w14:paraId="46C9C94C" w14:textId="77777777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0E360554" w14:textId="77777777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 xml:space="preserve">административных данных на безвозмездной основе </w:t>
      </w:r>
    </w:p>
    <w:p w14:paraId="78310101" w14:textId="77777777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 xml:space="preserve">«Отчет о транспортных средствах, пригодных для </w:t>
      </w:r>
    </w:p>
    <w:p w14:paraId="2CD58E15" w14:textId="77777777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 xml:space="preserve">перевозки товаров под таможенной процедурой </w:t>
      </w:r>
    </w:p>
    <w:p w14:paraId="1FB2C781" w14:textId="72CEE02A" w:rsid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таможенного транзита»</w:t>
      </w:r>
    </w:p>
    <w:p w14:paraId="057AAFE3" w14:textId="77777777" w:rsidR="005E1F00" w:rsidRPr="005E1F00" w:rsidRDefault="005E1F00" w:rsidP="005E1F00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289C59C9" w14:textId="77777777" w:rsidR="005E1F00" w:rsidRPr="005E1F00" w:rsidRDefault="005E1F00" w:rsidP="005E1F00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5E1F00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 о транспортных средствах, пригодных для перевозки товаров под таможенной процедурой таможенного транзита» (ТСТП-1, ежеквартально)</w:t>
      </w:r>
    </w:p>
    <w:p w14:paraId="112D3729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 о транспортных средствах, пригодных для перевозки товаров под таможенной процедурой таможенного транзита» заполняется следующим образом:</w:t>
      </w:r>
    </w:p>
    <w:p w14:paraId="0EA9C9C8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1) таблица 1 «Сведения о возникновении обязанности по уплате таможенных пошлин, налогов, специальных, антидемпинговых, компенсационных пошлин, произошедших в период осуществления деятельности» заполняется при наличии страховых случаев возникновении обязанности по уплате таможенных пошлин, налогов, специальных, антидемпинговых, компенсационных пошлин, произошедших в период осуществления деятельности:</w:t>
      </w:r>
    </w:p>
    <w:p w14:paraId="22AEC5BD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1 указывается порядковый номер;</w:t>
      </w:r>
    </w:p>
    <w:p w14:paraId="25E4B376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2 дата и номер решения о включении в реестр таможенных перевозчиков;</w:t>
      </w:r>
    </w:p>
    <w:p w14:paraId="51C57A80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3 указывается способ обеспечения исполнения обязанности юридического лица;</w:t>
      </w:r>
    </w:p>
    <w:p w14:paraId="1FF96907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4 указывается номер и дата документа, подтверждающего представление в органы государственных доходов обеспечения исполнения обязанностей юридического лица;</w:t>
      </w:r>
    </w:p>
    <w:p w14:paraId="3E3EF3EE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5 указываются сведения об организации, выдавшей документ, подтверждающий обеспечение исполнения обязанностей юридического лица;</w:t>
      </w:r>
    </w:p>
    <w:p w14:paraId="1020C8C1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6 указывается фактическая дата наступления исполнения обязанности по уплате таможенных пошлин, налогов, специальных, антидемпинговых, компенсационных пошлин, по которой подлежит обеспечение юридического лица;</w:t>
      </w:r>
    </w:p>
    <w:p w14:paraId="54C25F0A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7 указывается причина наступления исполнения обязанности по уплате таможенных пошлин, налогов случая, а также обстоятельства, в связи с которыми возникло исполнение обязанности по уплате таможенных пошлин, налогов специальных, антидемпинговых, компенсационных пошлин;</w:t>
      </w:r>
    </w:p>
    <w:p w14:paraId="3FC4F50C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8 указывается сумма исполнения обязанности по уплате таможенных пошлин, налогов, специальных, антидемпинговых, компенсационных пошлин;</w:t>
      </w:r>
    </w:p>
    <w:p w14:paraId="01F9B537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9 указывается дата фактического исполнения обязанности по уплате таможенных пошлин, налогов, специальных, антидемпинговых, компенсационных пошлин;</w:t>
      </w:r>
    </w:p>
    <w:p w14:paraId="63A9A903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2) в таблице 2 «Сведения о привлечении таможенного перевозчика к административной ответственности за административные правонарушения в течение календарного года в соответствии со статьями 521, 523, 524, 525, 526, 527, 528, 529, 530, 533, 534, 549, 550, 555 и 558 КоАП РК»:</w:t>
      </w:r>
    </w:p>
    <w:p w14:paraId="7EC5D478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1 указывается порядковый номер;</w:t>
      </w:r>
    </w:p>
    <w:p w14:paraId="06750485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2 указывается наименование органа государственных доходов, привлекшего таможенного перевозчика к административной ответственности;</w:t>
      </w:r>
    </w:p>
    <w:p w14:paraId="523B1EC8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3 указывается статья КоАП РК, по которой таможенного перевозчика привлекли к административной ответственности;</w:t>
      </w:r>
    </w:p>
    <w:p w14:paraId="4118CEE6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4 указывается номер и дата документа о привлечении к административной ответственности;</w:t>
      </w:r>
    </w:p>
    <w:p w14:paraId="6FC62B23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lastRenderedPageBreak/>
        <w:t>3) в таблице 3 «Сведения о транспортных средствах таможенного перевозчика»:</w:t>
      </w:r>
    </w:p>
    <w:p w14:paraId="2071D8E6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1 указывается тип транспортного средства, пригодного для перевозки товаров под таможенной процедурой таможенного транзита;</w:t>
      </w:r>
    </w:p>
    <w:p w14:paraId="4A9ABAB5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2 указывается марка и модель транспортного средства;</w:t>
      </w:r>
    </w:p>
    <w:p w14:paraId="2CF992B6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3 указывается государственный регистрационный номер транспортного средства;</w:t>
      </w:r>
    </w:p>
    <w:p w14:paraId="7D7E2B9A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4 указываются сведения о владельце транспортного средства;</w:t>
      </w:r>
    </w:p>
    <w:p w14:paraId="6C5BAAD4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5 указывается марка, модель абонентского терминала спутниковой навигации или устройства вызова экстренных оперативных служб с функцией непрерывной передачи данных, позволяющих органу государственных доходов определять место нахождения данного транспортного средства путем передачи сигнала по каналам связи;</w:t>
      </w:r>
    </w:p>
    <w:p w14:paraId="13B578D6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6 указывается серийный номер абонентского терминала спутниковой навигации или устройства вызова экстренных оперативных служб;</w:t>
      </w:r>
    </w:p>
    <w:p w14:paraId="33E959EC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7 указывается наименование диспетчерского центра, выдавшего техническое средство системы спутниковой навигации или устройства вызова экстренных оперативных служб (далее – диспетчерский центр);</w:t>
      </w:r>
    </w:p>
    <w:p w14:paraId="1A2B84B5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8 указывается контактные данные диспетчерского центра;</w:t>
      </w:r>
    </w:p>
    <w:p w14:paraId="128EE2A8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9 указывается адрес (URL) цифровой системы диспетчерского центра;</w:t>
      </w:r>
    </w:p>
    <w:p w14:paraId="0E9A04C7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10 указывается имя пользователя (логин) для входа в учетную запись в цифровой системе диспетчерского центра (далее – учетная запись);</w:t>
      </w:r>
    </w:p>
    <w:p w14:paraId="45B5ED2E" w14:textId="77777777" w:rsidR="005E1F00" w:rsidRPr="005E1F00" w:rsidRDefault="005E1F00" w:rsidP="005E1F00">
      <w:pPr>
        <w:ind w:left="-709"/>
        <w:jc w:val="both"/>
        <w:rPr>
          <w:rFonts w:ascii="Times New Roman" w:hAnsi="Times New Roman" w:cs="Times New Roman"/>
        </w:rPr>
      </w:pPr>
      <w:r w:rsidRPr="005E1F00">
        <w:rPr>
          <w:rFonts w:ascii="Times New Roman" w:hAnsi="Times New Roman" w:cs="Times New Roman"/>
        </w:rPr>
        <w:t>в графе 11 указывается пароль к учетной записи.</w:t>
      </w:r>
    </w:p>
    <w:p w14:paraId="61971D5A" w14:textId="77777777" w:rsidR="004F1DC4" w:rsidRPr="005E1F00" w:rsidRDefault="004F1DC4" w:rsidP="005E1F00">
      <w:pPr>
        <w:ind w:left="-709"/>
        <w:rPr>
          <w:rFonts w:ascii="Times New Roman" w:hAnsi="Times New Roman" w:cs="Times New Roman"/>
        </w:rPr>
      </w:pPr>
    </w:p>
    <w:sectPr w:rsidR="004F1DC4" w:rsidRPr="005E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FCF"/>
    <w:rsid w:val="004C2FCF"/>
    <w:rsid w:val="004F1DC4"/>
    <w:rsid w:val="005E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7A65"/>
  <w15:chartTrackingRefBased/>
  <w15:docId w15:val="{80CCB374-8275-45A1-A3D4-82088098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22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96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2026-05-28T07:54:00Z</dcterms:created>
  <dcterms:modified xsi:type="dcterms:W3CDTF">2026-05-28T07:55:00Z</dcterms:modified>
</cp:coreProperties>
</file>